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71B1E34C"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D62F01">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046E262E" w:rsidR="003C6092" w:rsidRPr="00530AB0" w:rsidRDefault="003C6092" w:rsidP="008D6ED8">
      <w:pPr>
        <w:pStyle w:val="Textodst1sl"/>
        <w:numPr>
          <w:ilvl w:val="1"/>
          <w:numId w:val="15"/>
        </w:numPr>
        <w:rPr>
          <w:sz w:val="22"/>
          <w:szCs w:val="22"/>
        </w:rPr>
      </w:pPr>
      <w:r w:rsidRPr="00530AB0">
        <w:rPr>
          <w:sz w:val="22"/>
          <w:szCs w:val="22"/>
        </w:rPr>
        <w:t>Předmětem Smlouvy je provedení a dokončení stavebních prací „</w:t>
      </w:r>
      <w:r w:rsidR="00703360" w:rsidRPr="00703360">
        <w:rPr>
          <w:b/>
          <w:sz w:val="22"/>
          <w:szCs w:val="22"/>
        </w:rPr>
        <w:t xml:space="preserve">II/268 Mnichovo Hradiště, most </w:t>
      </w:r>
      <w:proofErr w:type="spellStart"/>
      <w:r w:rsidR="00703360" w:rsidRPr="00703360">
        <w:rPr>
          <w:b/>
          <w:sz w:val="22"/>
          <w:szCs w:val="22"/>
        </w:rPr>
        <w:t>ev.č</w:t>
      </w:r>
      <w:proofErr w:type="spellEnd"/>
      <w:r w:rsidR="00703360" w:rsidRPr="00703360">
        <w:rPr>
          <w:b/>
          <w:sz w:val="22"/>
          <w:szCs w:val="22"/>
        </w:rPr>
        <w:t>. 268-006 – neodkladná oprava JÚ 11226</w:t>
      </w:r>
      <w:r w:rsidRPr="00530AB0">
        <w:rPr>
          <w:sz w:val="22"/>
          <w:szCs w:val="22"/>
        </w:rPr>
        <w:t>“, a to v následujícím rozsahu:</w:t>
      </w:r>
    </w:p>
    <w:p w14:paraId="0FDB3148" w14:textId="354747D6" w:rsidR="006A35F9" w:rsidRDefault="00703360" w:rsidP="006A35F9">
      <w:pPr>
        <w:pStyle w:val="Textodst2slovan"/>
        <w:numPr>
          <w:ilvl w:val="0"/>
          <w:numId w:val="0"/>
        </w:numPr>
        <w:spacing w:before="80"/>
        <w:ind w:left="851"/>
        <w:rPr>
          <w:sz w:val="22"/>
          <w:szCs w:val="22"/>
        </w:rPr>
      </w:pPr>
      <w:r w:rsidRPr="00703360">
        <w:rPr>
          <w:sz w:val="22"/>
          <w:szCs w:val="22"/>
        </w:rPr>
        <w:t xml:space="preserve">Předmětem stavební údržby mostu je neodkladná </w:t>
      </w:r>
      <w:proofErr w:type="gramStart"/>
      <w:r w:rsidRPr="00703360">
        <w:rPr>
          <w:sz w:val="22"/>
          <w:szCs w:val="22"/>
        </w:rPr>
        <w:t>oprava - výměna</w:t>
      </w:r>
      <w:proofErr w:type="gramEnd"/>
      <w:r w:rsidRPr="00703360">
        <w:rPr>
          <w:sz w:val="22"/>
          <w:szCs w:val="22"/>
        </w:rPr>
        <w:t xml:space="preserve"> stávající, nevyhovující izolace na mostě. Jedná se o stavební údržbu mostu na stávajícím místě, která nevyžaduje stavební řízení. V rámci stavby budou provedeny drobné opravy jako oprava PKO zábradlí a svodidel, obnova svodu odvodnění, oprava dobetonávky mezi nosníky u opěry 6, obnova těsnění říms, očištění mostních </w:t>
      </w:r>
      <w:r w:rsidRPr="00703360">
        <w:rPr>
          <w:sz w:val="22"/>
          <w:szCs w:val="22"/>
        </w:rPr>
        <w:lastRenderedPageBreak/>
        <w:t>závěrů a úložných prahů a odstranění náletové vegetace u opěr mostu, a ostatní práce dle soupisu prací. Stavební údržba mostu bude probíhat za omezení provozu, po polovinách, dle platné projektové dokumentace v souladu s TP, TKP, ZTKP, technickou specifikací a ostatními příslušnými normami. Součástí zakázky bude také zkoušení materiálů, konstrukcí a prací nezávislou zkušebnou dle TKP a ZTKP.</w:t>
      </w:r>
    </w:p>
    <w:p w14:paraId="0EDB704B" w14:textId="77777777" w:rsidR="00703360" w:rsidRPr="00530AB0" w:rsidRDefault="00703360" w:rsidP="006A35F9">
      <w:pPr>
        <w:pStyle w:val="Textodst2slovan"/>
        <w:numPr>
          <w:ilvl w:val="0"/>
          <w:numId w:val="0"/>
        </w:numPr>
        <w:spacing w:before="80"/>
        <w:ind w:left="851"/>
        <w:rPr>
          <w:sz w:val="22"/>
          <w:szCs w:val="22"/>
        </w:rPr>
      </w:pPr>
    </w:p>
    <w:p w14:paraId="4FA2D895" w14:textId="2027ED70" w:rsidR="008456D2" w:rsidRPr="00A6422A" w:rsidRDefault="008456D2" w:rsidP="008456D2">
      <w:pPr>
        <w:pStyle w:val="Textodst2slovan"/>
        <w:ind w:left="1418" w:hanging="567"/>
      </w:pPr>
      <w:r w:rsidRPr="00530AB0">
        <w:rPr>
          <w:sz w:val="22"/>
          <w:szCs w:val="22"/>
        </w:rPr>
        <w:t>Zhotovení realizační dokumentace stavby dle kap. 10 Směrnice pro dokumentaci staveb pozemních komunikací</w:t>
      </w:r>
      <w:r w:rsidRPr="00A6422A">
        <w:rPr>
          <w:sz w:val="22"/>
          <w:szCs w:val="22"/>
        </w:rPr>
        <w:t xml:space="preserve">,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62973183" w:rsidR="008456D2" w:rsidRPr="00530AB0"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w:t>
      </w:r>
      <w:r w:rsidRPr="00530AB0">
        <w:rPr>
          <w:sz w:val="22"/>
          <w:szCs w:val="22"/>
        </w:rPr>
        <w:t xml:space="preserve">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530AB0">
          <w:rPr>
            <w:rStyle w:val="Hypertextovodkaz"/>
            <w:sz w:val="22"/>
            <w:szCs w:val="22"/>
          </w:rPr>
          <w:t>www.pjpk.cz</w:t>
        </w:r>
      </w:hyperlink>
      <w:r w:rsidRPr="00530AB0">
        <w:rPr>
          <w:sz w:val="22"/>
          <w:szCs w:val="22"/>
        </w:rPr>
        <w:t>).). Dokumentace skutečného provedení stavby bude Objednateli předána následovně:</w:t>
      </w:r>
    </w:p>
    <w:p w14:paraId="642891B8" w14:textId="77777777" w:rsidR="008456D2" w:rsidRPr="00530AB0" w:rsidRDefault="008456D2" w:rsidP="008456D2">
      <w:pPr>
        <w:pStyle w:val="Textodst3psmena"/>
        <w:ind w:left="1701" w:hanging="284"/>
        <w:rPr>
          <w:sz w:val="22"/>
          <w:szCs w:val="22"/>
        </w:rPr>
      </w:pPr>
      <w:r w:rsidRPr="00530AB0">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w:t>
      </w:r>
      <w:r w:rsidRPr="00781CB4">
        <w:rPr>
          <w:sz w:val="22"/>
          <w:szCs w:val="22"/>
        </w:rPr>
        <w:lastRenderedPageBreak/>
        <w:t xml:space="preserve">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62F108E2"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D62F01">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protokolárního předání Staveniště. Zhotovitel je povinen převzít Staveniště nejpozději do 35 </w:t>
      </w:r>
      <w:r w:rsidRPr="00360643">
        <w:rPr>
          <w:sz w:val="22"/>
          <w:szCs w:val="22"/>
        </w:rPr>
        <w:lastRenderedPageBreak/>
        <w:t>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0931FBE9"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D62F01">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5FCF6388"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703360">
        <w:rPr>
          <w:b/>
          <w:sz w:val="22"/>
          <w:szCs w:val="22"/>
        </w:rPr>
        <w:t>10 týdnů</w:t>
      </w:r>
      <w:r w:rsidRPr="00AA7C74">
        <w:rPr>
          <w:bCs/>
          <w:sz w:val="22"/>
          <w:szCs w:val="22"/>
        </w:rPr>
        <w:t xml:space="preserve"> od tohoto převzetí. Zhotovitel dále postupuje v souladu s odst.</w:t>
      </w:r>
      <w:r w:rsidR="00F90EC3">
        <w:rPr>
          <w:bCs/>
          <w:sz w:val="22"/>
          <w:szCs w:val="22"/>
        </w:rPr>
        <w:t xml:space="preserve"> </w:t>
      </w:r>
      <w:r w:rsidR="00F90EC3">
        <w:rPr>
          <w:bCs/>
          <w:sz w:val="22"/>
          <w:szCs w:val="22"/>
        </w:rPr>
        <w:fldChar w:fldCharType="begin"/>
      </w:r>
      <w:r w:rsidR="00F90EC3">
        <w:rPr>
          <w:bCs/>
          <w:sz w:val="22"/>
          <w:szCs w:val="22"/>
        </w:rPr>
        <w:instrText xml:space="preserve"> REF _Ref190937010 \r \h </w:instrText>
      </w:r>
      <w:r w:rsidR="00F90EC3">
        <w:rPr>
          <w:bCs/>
          <w:sz w:val="22"/>
          <w:szCs w:val="22"/>
        </w:rPr>
      </w:r>
      <w:r w:rsidR="00F90EC3">
        <w:rPr>
          <w:bCs/>
          <w:sz w:val="22"/>
          <w:szCs w:val="22"/>
        </w:rPr>
        <w:fldChar w:fldCharType="separate"/>
      </w:r>
      <w:r w:rsidR="00D62F01">
        <w:rPr>
          <w:bCs/>
          <w:sz w:val="22"/>
          <w:szCs w:val="22"/>
        </w:rPr>
        <w:t>7.2</w:t>
      </w:r>
      <w:r w:rsidR="00F90EC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E132CAD"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D62F01">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lastRenderedPageBreak/>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 xml:space="preserve">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w:t>
      </w:r>
      <w:r w:rsidRPr="00F13457">
        <w:rPr>
          <w:sz w:val="22"/>
          <w:szCs w:val="22"/>
        </w:rPr>
        <w:lastRenderedPageBreak/>
        <w:t>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01A67190"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D62F01">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 xml:space="preserve">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w:t>
      </w:r>
      <w:r w:rsidRPr="00694E8D">
        <w:rPr>
          <w:sz w:val="22"/>
          <w:szCs w:val="22"/>
        </w:rPr>
        <w:lastRenderedPageBreak/>
        <w:t>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 xml:space="preserve">Změna poddodavatelů oproti obsahu nabídky podané Zhotovitelem v zadávacím řízení veřejné zakázky, je možná pouze na základě písemného souhlasu Objednatele. Objednatel se zavazuje, </w:t>
      </w:r>
      <w:r w:rsidRPr="00781CB4">
        <w:rPr>
          <w:sz w:val="22"/>
          <w:szCs w:val="22"/>
        </w:rPr>
        <w:lastRenderedPageBreak/>
        <w:t>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lastRenderedPageBreak/>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B970DD" w:rsidRDefault="00CE6E8C" w:rsidP="008D6ED8">
      <w:pPr>
        <w:pStyle w:val="Textodst3psmena"/>
        <w:numPr>
          <w:ilvl w:val="3"/>
          <w:numId w:val="20"/>
        </w:numPr>
        <w:ind w:left="1843"/>
        <w:rPr>
          <w:sz w:val="22"/>
          <w:szCs w:val="22"/>
        </w:rPr>
      </w:pPr>
      <w:r w:rsidRPr="00B970DD">
        <w:rPr>
          <w:sz w:val="22"/>
          <w:szCs w:val="22"/>
        </w:rPr>
        <w:t>Zhotovitel se zavazuje vyhotovovat Změnové listy a jejich přílohy a předkládat je Objednateli výlučně ve formátu, který stanoví Směrnice.</w:t>
      </w:r>
    </w:p>
    <w:p w14:paraId="54752CE1" w14:textId="77777777" w:rsidR="000A5912" w:rsidRPr="00B970DD" w:rsidRDefault="000A5912" w:rsidP="000A5912">
      <w:pPr>
        <w:pStyle w:val="Textodst1sl"/>
        <w:rPr>
          <w:sz w:val="22"/>
          <w:szCs w:val="22"/>
        </w:rPr>
      </w:pPr>
      <w:r w:rsidRPr="00B970DD">
        <w:rPr>
          <w:sz w:val="22"/>
          <w:szCs w:val="22"/>
        </w:rPr>
        <w:lastRenderedPageBreak/>
        <w:t>Objednatel si v Závazné dokumentaci vyhradil v souladu s § 100 odst. 1 a § 222 odst. 2 ZZVZ následující změny závazku, které mohou být Objednatelem po dobu plnění Smlouvy uplatněny postupem podle Směrnice:</w:t>
      </w:r>
    </w:p>
    <w:p w14:paraId="0C6ADD48" w14:textId="08ED242D" w:rsidR="000A5912" w:rsidRPr="00B970DD" w:rsidRDefault="000A5912" w:rsidP="000A5912">
      <w:pPr>
        <w:pStyle w:val="Textodst1sl"/>
        <w:numPr>
          <w:ilvl w:val="0"/>
          <w:numId w:val="51"/>
        </w:numPr>
        <w:rPr>
          <w:sz w:val="22"/>
          <w:szCs w:val="22"/>
        </w:rPr>
      </w:pPr>
      <w:r w:rsidRPr="00B970DD">
        <w:rPr>
          <w:sz w:val="22"/>
          <w:szCs w:val="22"/>
        </w:rPr>
        <w:t>prodloužení termínů plnění Díla v případech uvedených v </w:t>
      </w:r>
      <w:r w:rsidR="00950151" w:rsidRPr="00B970DD">
        <w:rPr>
          <w:sz w:val="22"/>
          <w:szCs w:val="22"/>
        </w:rPr>
        <w:t>odst</w:t>
      </w:r>
      <w:r w:rsidRPr="00B970DD">
        <w:rPr>
          <w:sz w:val="22"/>
          <w:szCs w:val="22"/>
        </w:rPr>
        <w:t xml:space="preserve">. </w:t>
      </w:r>
      <w:r w:rsidR="00D62F01" w:rsidRPr="00B970DD">
        <w:rPr>
          <w:sz w:val="22"/>
          <w:szCs w:val="22"/>
        </w:rPr>
        <w:fldChar w:fldCharType="begin"/>
      </w:r>
      <w:r w:rsidR="00D62F01" w:rsidRPr="00B970DD">
        <w:rPr>
          <w:sz w:val="22"/>
          <w:szCs w:val="22"/>
        </w:rPr>
        <w:instrText xml:space="preserve"> REF _Ref182768688 \r \h </w:instrText>
      </w:r>
      <w:r w:rsidR="00B970DD">
        <w:rPr>
          <w:sz w:val="22"/>
          <w:szCs w:val="22"/>
        </w:rPr>
        <w:instrText xml:space="preserve"> \* MERGEFORMAT </w:instrText>
      </w:r>
      <w:r w:rsidR="00D62F01" w:rsidRPr="00B970DD">
        <w:rPr>
          <w:sz w:val="22"/>
          <w:szCs w:val="22"/>
        </w:rPr>
      </w:r>
      <w:r w:rsidR="00D62F01" w:rsidRPr="00B970DD">
        <w:rPr>
          <w:sz w:val="22"/>
          <w:szCs w:val="22"/>
        </w:rPr>
        <w:fldChar w:fldCharType="separate"/>
      </w:r>
      <w:r w:rsidR="00D62F01" w:rsidRPr="00B970DD">
        <w:rPr>
          <w:sz w:val="22"/>
          <w:szCs w:val="22"/>
        </w:rPr>
        <w:t>4.8</w:t>
      </w:r>
      <w:r w:rsidR="00D62F01" w:rsidRPr="00B970DD">
        <w:rPr>
          <w:sz w:val="22"/>
          <w:szCs w:val="22"/>
        </w:rPr>
        <w:fldChar w:fldCharType="end"/>
      </w:r>
      <w:r w:rsidR="00950151" w:rsidRPr="00B970DD">
        <w:rPr>
          <w:sz w:val="22"/>
          <w:szCs w:val="22"/>
        </w:rPr>
        <w:t>.</w:t>
      </w:r>
      <w:r w:rsidR="00D62F01" w:rsidRPr="00B970DD">
        <w:rPr>
          <w:sz w:val="22"/>
          <w:szCs w:val="22"/>
        </w:rPr>
        <w:t xml:space="preserve"> </w:t>
      </w:r>
      <w:r w:rsidRPr="00B970DD">
        <w:rPr>
          <w:sz w:val="22"/>
          <w:szCs w:val="22"/>
        </w:rPr>
        <w:t>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10B9149A" w14:textId="77777777" w:rsidR="00493728" w:rsidRPr="00493728" w:rsidRDefault="00493728" w:rsidP="00493728">
      <w:pPr>
        <w:pStyle w:val="Textodst1sl"/>
        <w:rPr>
          <w:sz w:val="22"/>
          <w:szCs w:val="22"/>
        </w:rPr>
      </w:pPr>
      <w:r w:rsidRPr="00493728">
        <w:rPr>
          <w:sz w:val="22"/>
          <w:szCs w:val="22"/>
        </w:rPr>
        <w:t xml:space="preserve">Zhotovitel splní svou povinnost provést Dílo jeho řádným dokončením a protokolárním předáním Díla (všech jeho částí) Objednateli společně s veškerými dokumenty s Dílem souvisejícími v souladu s touto Smlouvou. </w:t>
      </w:r>
    </w:p>
    <w:p w14:paraId="2758105E" w14:textId="77777777" w:rsidR="00493728" w:rsidRPr="00493728" w:rsidRDefault="00493728" w:rsidP="00493728">
      <w:pPr>
        <w:pStyle w:val="Textodst1sl"/>
        <w:rPr>
          <w:sz w:val="22"/>
          <w:szCs w:val="22"/>
        </w:rPr>
      </w:pPr>
      <w:bookmarkStart w:id="8" w:name="_Ref182774266"/>
      <w:bookmarkStart w:id="9" w:name="_Hlk182774013"/>
      <w:r w:rsidRPr="00493728">
        <w:rPr>
          <w:sz w:val="22"/>
          <w:szCs w:val="22"/>
        </w:rPr>
        <w:t>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této Smlouvy (dále též jen „</w:t>
      </w:r>
      <w:r w:rsidRPr="00493728">
        <w:rPr>
          <w:b/>
          <w:bCs/>
          <w:sz w:val="22"/>
          <w:szCs w:val="22"/>
        </w:rPr>
        <w:t>Předávací protokol</w:t>
      </w:r>
      <w:r w:rsidRPr="00493728">
        <w:rPr>
          <w:sz w:val="22"/>
          <w:szCs w:val="22"/>
        </w:rPr>
        <w:t>“). Součástí Předávacího protokolu bude též rozsah Zhotovitelem poskytnutého a Objednatelem odsouhlaseného plnění.</w:t>
      </w:r>
      <w:bookmarkEnd w:id="8"/>
    </w:p>
    <w:bookmarkEnd w:id="9"/>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xml:space="preserve">) požadovat provedení jakýchkoli dalších prací, které jsou </w:t>
      </w:r>
      <w:r w:rsidRPr="00B56F04">
        <w:rPr>
          <w:sz w:val="22"/>
          <w:szCs w:val="22"/>
        </w:rPr>
        <w:lastRenderedPageBreak/>
        <w:t>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0" w:name="_Ref182768796"/>
      <w:r w:rsidRPr="0038024A">
        <w:rPr>
          <w:sz w:val="22"/>
          <w:szCs w:val="22"/>
        </w:rPr>
        <w:t xml:space="preserve">Smluvní strany se dohodly, že celková Cena Díla </w:t>
      </w:r>
      <w:r w:rsidRPr="00F04838">
        <w:rPr>
          <w:sz w:val="22"/>
          <w:szCs w:val="22"/>
        </w:rPr>
        <w:t>je stanovena jako neměnná a konečná a činí:</w:t>
      </w:r>
      <w:bookmarkEnd w:id="10"/>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17C9BDA3" w14:textId="7FF45707" w:rsidR="00D7081F"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připočtena ve výši platné ke dni uskutečnění zdanitelného plnění. Pro vyloučení pochybností </w:t>
      </w:r>
      <w:r w:rsidRPr="00B970DD">
        <w:rPr>
          <w:sz w:val="22"/>
          <w:szCs w:val="22"/>
        </w:rPr>
        <w:t xml:space="preserve">se stanoví, že veškerá množství uvedená v soupise prací k Dílu a jeho jednotlivým částem jsou pouze odhadovaná, a jejich změna neznamená změnu Ceny Díla.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5CF22309"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D62F01">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11"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11"/>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w:t>
      </w:r>
      <w:r w:rsidRPr="00B07FC8">
        <w:rPr>
          <w:sz w:val="22"/>
          <w:szCs w:val="22"/>
        </w:rPr>
        <w:lastRenderedPageBreak/>
        <w:t xml:space="preserve">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6CD7E24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w:t>
      </w:r>
      <w:r w:rsidRPr="00B56F04">
        <w:rPr>
          <w:sz w:val="22"/>
          <w:szCs w:val="22"/>
        </w:rPr>
        <w:lastRenderedPageBreak/>
        <w:t xml:space="preserve">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1184E50F" w14:textId="27038F5E" w:rsidR="00827719" w:rsidRDefault="00827719" w:rsidP="00827719">
      <w:pPr>
        <w:pStyle w:val="Textodst1sl"/>
        <w:numPr>
          <w:ilvl w:val="0"/>
          <w:numId w:val="0"/>
        </w:numPr>
        <w:ind w:left="1430"/>
        <w:rPr>
          <w:sz w:val="22"/>
          <w:szCs w:val="22"/>
        </w:rPr>
      </w:pPr>
      <w:r>
        <w:rPr>
          <w:sz w:val="22"/>
          <w:szCs w:val="22"/>
        </w:rPr>
        <w:tab/>
      </w:r>
      <w:r w:rsidRPr="00B970DD">
        <w:rPr>
          <w:sz w:val="22"/>
          <w:szCs w:val="22"/>
        </w:rPr>
        <w:fldChar w:fldCharType="begin">
          <w:ffData>
            <w:name w:val=""/>
            <w:enabled/>
            <w:calcOnExit w:val="0"/>
            <w:textInput>
              <w:default w:val="- 60 měsíců"/>
              <w:format w:val="První velké"/>
            </w:textInput>
          </w:ffData>
        </w:fldChar>
      </w:r>
      <w:r w:rsidRPr="00B970DD">
        <w:rPr>
          <w:sz w:val="22"/>
          <w:szCs w:val="22"/>
        </w:rPr>
        <w:instrText xml:space="preserve"> FORMTEXT </w:instrText>
      </w:r>
      <w:r w:rsidRPr="00B970DD">
        <w:rPr>
          <w:sz w:val="22"/>
          <w:szCs w:val="22"/>
        </w:rPr>
      </w:r>
      <w:r w:rsidRPr="00B970DD">
        <w:rPr>
          <w:sz w:val="22"/>
          <w:szCs w:val="22"/>
        </w:rPr>
        <w:fldChar w:fldCharType="separate"/>
      </w:r>
      <w:r w:rsidR="00D62F01" w:rsidRPr="00B970DD">
        <w:rPr>
          <w:noProof/>
          <w:sz w:val="22"/>
          <w:szCs w:val="22"/>
        </w:rPr>
        <w:t>- 60 měsíců</w:t>
      </w:r>
      <w:r w:rsidRPr="00B970DD">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5F6B05B5"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D62F01">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0FD88096"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D62F01">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06E9A3EB"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D62F01">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w:t>
      </w:r>
      <w:r w:rsidRPr="00781CB4">
        <w:rPr>
          <w:sz w:val="22"/>
          <w:szCs w:val="22"/>
        </w:rPr>
        <w:lastRenderedPageBreak/>
        <w:t xml:space="preserve">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lastRenderedPageBreak/>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lastRenderedPageBreak/>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2158652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D62F01">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726E6948" w14:textId="4C4C0914" w:rsidR="004B4A01" w:rsidRDefault="004B4A01" w:rsidP="004B4A01">
      <w:pPr>
        <w:pStyle w:val="Textodst1sl"/>
        <w:numPr>
          <w:ilvl w:val="0"/>
          <w:numId w:val="0"/>
        </w:numPr>
        <w:ind w:left="709"/>
        <w:rPr>
          <w:sz w:val="22"/>
          <w:szCs w:val="22"/>
        </w:rPr>
      </w:pPr>
      <w:r>
        <w:rPr>
          <w:sz w:val="22"/>
          <w:szCs w:val="22"/>
        </w:rPr>
        <w:tab/>
      </w:r>
      <w:r>
        <w:rPr>
          <w:sz w:val="22"/>
          <w:szCs w:val="22"/>
        </w:rPr>
        <w:tab/>
      </w:r>
      <w:r w:rsidR="00703360" w:rsidRPr="00703360">
        <w:rPr>
          <w:sz w:val="22"/>
          <w:szCs w:val="22"/>
        </w:rPr>
        <w:t>Jan Boček, provozní manažer úseku mosty MH, jan.bocek@ksus.cz, 724342787</w:t>
      </w:r>
    </w:p>
    <w:p w14:paraId="0B1BC696" w14:textId="5D7570FE" w:rsidR="00703360" w:rsidRDefault="00703360" w:rsidP="004B4A01">
      <w:pPr>
        <w:pStyle w:val="Textodst1sl"/>
        <w:numPr>
          <w:ilvl w:val="0"/>
          <w:numId w:val="0"/>
        </w:numPr>
        <w:ind w:left="709"/>
        <w:rPr>
          <w:sz w:val="22"/>
          <w:szCs w:val="22"/>
        </w:rPr>
      </w:pPr>
      <w:r>
        <w:rPr>
          <w:sz w:val="22"/>
          <w:szCs w:val="22"/>
        </w:rPr>
        <w:tab/>
      </w:r>
      <w:r>
        <w:rPr>
          <w:sz w:val="22"/>
          <w:szCs w:val="22"/>
        </w:rPr>
        <w:tab/>
      </w:r>
      <w:r w:rsidRPr="00703360">
        <w:rPr>
          <w:sz w:val="22"/>
          <w:szCs w:val="22"/>
        </w:rPr>
        <w:t>Ing. Miroslav Dostál, vedoucí úseku mosty, miroslav.dostal@ksus.cz, 778532514</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645A9AB"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5"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19A7B974"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2" w:name="_Ref124495693"/>
      <w:r w:rsidRPr="0095487A">
        <w:rPr>
          <w:sz w:val="22"/>
          <w:szCs w:val="22"/>
        </w:rPr>
        <w:t>Oprávněni k jednáním ve věcech realizace této Smlouvy jsou za Zhotovitele:</w:t>
      </w:r>
      <w:bookmarkEnd w:id="12"/>
    </w:p>
    <w:p w14:paraId="4A68EECB" w14:textId="77777777" w:rsidR="00401C54" w:rsidRDefault="00110945" w:rsidP="00110945">
      <w:pPr>
        <w:pStyle w:val="Textodst1sl"/>
        <w:numPr>
          <w:ilvl w:val="0"/>
          <w:numId w:val="0"/>
        </w:numPr>
        <w:ind w:left="1430"/>
        <w:rPr>
          <w:sz w:val="22"/>
          <w:szCs w:val="22"/>
        </w:rPr>
      </w:pPr>
      <w:r w:rsidRPr="0095487A">
        <w:rPr>
          <w:sz w:val="22"/>
          <w:szCs w:val="22"/>
        </w:rPr>
        <w:lastRenderedPageBreak/>
        <w:t xml:space="preserve">ve věcech smluvních: </w:t>
      </w:r>
      <w:r w:rsidRPr="0095487A">
        <w:rPr>
          <w:sz w:val="22"/>
          <w:szCs w:val="22"/>
        </w:rPr>
        <w:tab/>
      </w:r>
    </w:p>
    <w:p w14:paraId="58D8892E" w14:textId="70240B24"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06138B59" w14:textId="048CC565"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6D57C72" w14:textId="0F4AE10C"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42716A0A"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65AC764" w14:textId="0C862662"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03A01AA7" w14:textId="3EAEF71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E356BBC"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34C8114" w14:textId="7136EE8F"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900BB0D" w14:textId="156F2D20"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0453546C"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3"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lastRenderedPageBreak/>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3"/>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64C9A70"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B970DD">
        <w:rPr>
          <w:sz w:val="22"/>
          <w:szCs w:val="22"/>
        </w:rPr>
        <w:fldChar w:fldCharType="begin">
          <w:ffData>
            <w:name w:val=""/>
            <w:enabled/>
            <w:calcOnExit w:val="0"/>
            <w:textInput>
              <w:default w:val="Podpisový rámec realizační dokumentace stavby "/>
            </w:textInput>
          </w:ffData>
        </w:fldChar>
      </w:r>
      <w:r w:rsidR="00B816DB" w:rsidRPr="00B970DD">
        <w:rPr>
          <w:sz w:val="22"/>
          <w:szCs w:val="22"/>
        </w:rPr>
        <w:instrText xml:space="preserve"> FORMTEXT </w:instrText>
      </w:r>
      <w:r w:rsidR="00B816DB" w:rsidRPr="00B970DD">
        <w:rPr>
          <w:sz w:val="22"/>
          <w:szCs w:val="22"/>
        </w:rPr>
      </w:r>
      <w:r w:rsidR="00B816DB" w:rsidRPr="00B970DD">
        <w:rPr>
          <w:sz w:val="22"/>
          <w:szCs w:val="22"/>
        </w:rPr>
        <w:fldChar w:fldCharType="separate"/>
      </w:r>
      <w:r w:rsidR="00D62F01" w:rsidRPr="00B970DD">
        <w:rPr>
          <w:noProof/>
          <w:sz w:val="22"/>
          <w:szCs w:val="22"/>
        </w:rPr>
        <w:t xml:space="preserve">Podpisový rámec realizační dokumentace stavby </w:t>
      </w:r>
      <w:r w:rsidR="00B816DB" w:rsidRPr="00B970DD">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5E580CC7"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even" r:id="rId17"/>
          <w:headerReference w:type="default" r:id="rId18"/>
          <w:footerReference w:type="even" r:id="rId19"/>
          <w:footerReference w:type="default" r:id="rId20"/>
          <w:headerReference w:type="first" r:id="rId21"/>
          <w:footerReference w:type="first" r:id="rId22"/>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3"/>
          <w:headerReference w:type="first" r:id="rId24"/>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1DD16" w14:textId="77777777" w:rsidR="0035689D" w:rsidRDefault="0035689D" w:rsidP="003C6092">
      <w:r>
        <w:separator/>
      </w:r>
    </w:p>
  </w:endnote>
  <w:endnote w:type="continuationSeparator" w:id="0">
    <w:p w14:paraId="03EA124C" w14:textId="77777777" w:rsidR="0035689D" w:rsidRDefault="0035689D"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C632B" w14:textId="77777777" w:rsidR="00703360" w:rsidRDefault="0070336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AA945" w14:textId="77777777" w:rsidR="00703360" w:rsidRDefault="0070336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91528" w14:textId="77777777" w:rsidR="00703360" w:rsidRDefault="0070336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F5FF0" w14:textId="77777777" w:rsidR="0035689D" w:rsidRDefault="0035689D" w:rsidP="003C6092">
      <w:r>
        <w:separator/>
      </w:r>
    </w:p>
  </w:footnote>
  <w:footnote w:type="continuationSeparator" w:id="0">
    <w:p w14:paraId="6B0C3053" w14:textId="77777777" w:rsidR="0035689D" w:rsidRDefault="0035689D"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496605F8"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14933DC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8DBA" w14:textId="77777777" w:rsidR="00703360" w:rsidRDefault="0070336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F9D02" w14:textId="77777777" w:rsidR="00703360" w:rsidRPr="00703360" w:rsidRDefault="00703360" w:rsidP="0070336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0242CB6B" w:rsidR="006A35F9" w:rsidRDefault="006A35F9"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408CC"/>
    <w:rsid w:val="00140E9C"/>
    <w:rsid w:val="001416E6"/>
    <w:rsid w:val="0014341C"/>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5689D"/>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3728"/>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3D72"/>
    <w:rsid w:val="004F7B1B"/>
    <w:rsid w:val="00505FC6"/>
    <w:rsid w:val="00506DFD"/>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4E9B"/>
    <w:rsid w:val="005D741D"/>
    <w:rsid w:val="005E02C5"/>
    <w:rsid w:val="005E1494"/>
    <w:rsid w:val="005E2F69"/>
    <w:rsid w:val="005E3AF9"/>
    <w:rsid w:val="005E543A"/>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196C"/>
    <w:rsid w:val="00701D52"/>
    <w:rsid w:val="00703178"/>
    <w:rsid w:val="00703360"/>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024F"/>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970DD"/>
    <w:rsid w:val="00BA0DDD"/>
    <w:rsid w:val="00BA2ECF"/>
    <w:rsid w:val="00BA49CE"/>
    <w:rsid w:val="00BA584D"/>
    <w:rsid w:val="00BB082C"/>
    <w:rsid w:val="00BB3E01"/>
    <w:rsid w:val="00BB63B6"/>
    <w:rsid w:val="00BC07C9"/>
    <w:rsid w:val="00BC5500"/>
    <w:rsid w:val="00BC747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4FF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4F16"/>
    <w:rsid w:val="00E65E5C"/>
    <w:rsid w:val="00E66153"/>
    <w:rsid w:val="00E7044A"/>
    <w:rsid w:val="00E73E96"/>
    <w:rsid w:val="00E76243"/>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3D6"/>
    <w:rsid w:val="00F5498E"/>
    <w:rsid w:val="00F66E76"/>
    <w:rsid w:val="00F70C78"/>
    <w:rsid w:val="00F760EF"/>
    <w:rsid w:val="00F832A9"/>
    <w:rsid w:val="00F836EC"/>
    <w:rsid w:val="00F84372"/>
    <w:rsid w:val="00F85A3D"/>
    <w:rsid w:val="00F90EC3"/>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D6864"/>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eader" Target="header1.xm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ksus.cz/kontakty/reditelstvi"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footer" Target="footer3.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10122</Words>
  <Characters>62290</Characters>
  <Application>Microsoft Office Word</Application>
  <DocSecurity>0</DocSecurity>
  <Lines>519</Lines>
  <Paragraphs>144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2025-05-02T12:44:00Z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